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A35CF" w:rsidP="00132FC5">
      <w:pPr>
        <w:spacing w:after="0"/>
        <w:jc w:val="center"/>
        <w:rPr>
          <w:rFonts w:ascii="Times New Roman" w:hAnsi="Times New Roman"/>
          <w:sz w:val="28"/>
          <w:szCs w:val="28"/>
        </w:rPr>
      </w:pPr>
      <w:r>
        <w:rPr>
          <w:rFonts w:ascii="Times New Roman" w:hAnsi="Times New Roman"/>
          <w:sz w:val="28"/>
          <w:szCs w:val="28"/>
        </w:rPr>
        <w:t>30.04</w:t>
      </w:r>
      <w:r w:rsidR="0095692B">
        <w:rPr>
          <w:rFonts w:ascii="Times New Roman" w:hAnsi="Times New Roman"/>
          <w:sz w:val="28"/>
          <w:szCs w:val="28"/>
        </w:rPr>
        <w:t>.2015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44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C52968">
        <w:rPr>
          <w:rFonts w:ascii="Times New Roman" w:hAnsi="Times New Roman"/>
          <w:sz w:val="28"/>
          <w:szCs w:val="28"/>
        </w:rPr>
        <w:t>о результатам за 2014</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2014</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7A35CF">
        <w:rPr>
          <w:rFonts w:ascii="Times New Roman" w:hAnsi="Times New Roman"/>
          <w:sz w:val="24"/>
          <w:szCs w:val="24"/>
        </w:rPr>
        <w:t>30.04</w:t>
      </w:r>
      <w:r w:rsidR="00132FC5">
        <w:rPr>
          <w:rFonts w:ascii="Times New Roman" w:hAnsi="Times New Roman"/>
          <w:sz w:val="24"/>
          <w:szCs w:val="24"/>
        </w:rPr>
        <w:t>.</w:t>
      </w:r>
      <w:r w:rsidR="00C52968">
        <w:rPr>
          <w:rFonts w:ascii="Times New Roman" w:hAnsi="Times New Roman"/>
          <w:sz w:val="24"/>
          <w:szCs w:val="24"/>
        </w:rPr>
        <w:t>2015</w:t>
      </w:r>
      <w:r w:rsidRPr="00F32066">
        <w:rPr>
          <w:rFonts w:ascii="Times New Roman" w:hAnsi="Times New Roman"/>
          <w:sz w:val="24"/>
          <w:szCs w:val="24"/>
        </w:rPr>
        <w:t xml:space="preserve"> № </w:t>
      </w:r>
      <w:r w:rsidR="007A35CF">
        <w:rPr>
          <w:rFonts w:ascii="Times New Roman" w:hAnsi="Times New Roman"/>
          <w:sz w:val="24"/>
          <w:szCs w:val="24"/>
        </w:rPr>
        <w:t>44</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Pr>
          <w:rFonts w:ascii="Times New Roman" w:hAnsi="Times New Roman"/>
          <w:sz w:val="28"/>
          <w:szCs w:val="28"/>
        </w:rPr>
        <w:t>о результатам за 2014</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за </w:t>
      </w:r>
      <w:r w:rsidR="004323FA">
        <w:rPr>
          <w:rFonts w:ascii="Times New Roman" w:hAnsi="Times New Roman"/>
          <w:sz w:val="28"/>
          <w:szCs w:val="28"/>
        </w:rPr>
        <w:t xml:space="preserve"> 2014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4323FA" w:rsidRPr="004323FA" w:rsidRDefault="009459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96,6</w:t>
            </w:r>
          </w:p>
        </w:tc>
        <w:tc>
          <w:tcPr>
            <w:tcW w:w="1417" w:type="dxa"/>
            <w:tcBorders>
              <w:top w:val="nil"/>
              <w:left w:val="single" w:sz="4" w:space="0" w:color="auto"/>
              <w:bottom w:val="single" w:sz="4" w:space="0" w:color="auto"/>
              <w:right w:val="single" w:sz="4" w:space="0" w:color="auto"/>
            </w:tcBorders>
          </w:tcPr>
          <w:p w:rsidR="004323FA" w:rsidRPr="004323FA" w:rsidRDefault="009459D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91,5</w:t>
            </w:r>
          </w:p>
        </w:tc>
        <w:tc>
          <w:tcPr>
            <w:tcW w:w="1865" w:type="dxa"/>
            <w:tcBorders>
              <w:top w:val="nil"/>
              <w:left w:val="single" w:sz="4" w:space="0" w:color="auto"/>
              <w:bottom w:val="single" w:sz="4" w:space="0" w:color="auto"/>
              <w:right w:val="single" w:sz="4" w:space="0" w:color="auto"/>
            </w:tcBorders>
          </w:tcPr>
          <w:p w:rsidR="007C6B37" w:rsidRPr="004323FA" w:rsidRDefault="007C6B37" w:rsidP="004323FA">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167,5</w:t>
            </w:r>
          </w:p>
        </w:tc>
        <w:tc>
          <w:tcPr>
            <w:tcW w:w="1417" w:type="dxa"/>
            <w:tcBorders>
              <w:top w:val="nil"/>
              <w:left w:val="single" w:sz="4" w:space="0" w:color="auto"/>
              <w:bottom w:val="single" w:sz="4" w:space="0" w:color="auto"/>
              <w:right w:val="single" w:sz="4" w:space="0" w:color="auto"/>
            </w:tcBorders>
          </w:tcPr>
          <w:p w:rsidR="00F11BFF" w:rsidRPr="004323FA"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163,0</w:t>
            </w:r>
          </w:p>
        </w:tc>
        <w:tc>
          <w:tcPr>
            <w:tcW w:w="1865" w:type="dxa"/>
            <w:tcBorders>
              <w:top w:val="nil"/>
              <w:left w:val="single" w:sz="4" w:space="0" w:color="auto"/>
              <w:bottom w:val="single" w:sz="4" w:space="0" w:color="auto"/>
              <w:right w:val="single" w:sz="4" w:space="0" w:color="auto"/>
            </w:tcBorders>
          </w:tcPr>
          <w:p w:rsidR="00F11BFF"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9</w:t>
            </w: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163,0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01.01.2014</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31.12.2014</w:t>
            </w:r>
          </w:p>
        </w:tc>
        <w:tc>
          <w:tcPr>
            <w:tcW w:w="1558" w:type="dxa"/>
            <w:tcBorders>
              <w:top w:val="nil"/>
              <w:left w:val="single" w:sz="4" w:space="0" w:color="auto"/>
              <w:bottom w:val="single" w:sz="4" w:space="0" w:color="auto"/>
              <w:right w:val="single" w:sz="4" w:space="0" w:color="auto"/>
            </w:tcBorders>
          </w:tcPr>
          <w:p w:rsidR="00F11BFF" w:rsidRPr="004323FA"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32,9</w:t>
            </w:r>
          </w:p>
        </w:tc>
        <w:tc>
          <w:tcPr>
            <w:tcW w:w="1417" w:type="dxa"/>
            <w:tcBorders>
              <w:top w:val="nil"/>
              <w:left w:val="single" w:sz="4" w:space="0" w:color="auto"/>
              <w:bottom w:val="single" w:sz="4" w:space="0" w:color="auto"/>
              <w:right w:val="single" w:sz="4" w:space="0" w:color="auto"/>
            </w:tcBorders>
          </w:tcPr>
          <w:p w:rsidR="00F11BFF" w:rsidRPr="00FB45AC" w:rsidRDefault="009459D3"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32,6</w:t>
            </w:r>
          </w:p>
        </w:tc>
        <w:tc>
          <w:tcPr>
            <w:tcW w:w="1865" w:type="dxa"/>
            <w:tcBorders>
              <w:top w:val="nil"/>
              <w:left w:val="single" w:sz="4" w:space="0" w:color="auto"/>
              <w:bottom w:val="single" w:sz="4" w:space="0" w:color="auto"/>
              <w:right w:val="single" w:sz="4" w:space="0" w:color="auto"/>
            </w:tcBorders>
          </w:tcPr>
          <w:p w:rsidR="00522440" w:rsidRPr="00FB45AC" w:rsidRDefault="00522440"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27,1</w:t>
            </w:r>
          </w:p>
        </w:tc>
        <w:tc>
          <w:tcPr>
            <w:tcW w:w="1080"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29,1</w:t>
            </w:r>
          </w:p>
        </w:tc>
        <w:tc>
          <w:tcPr>
            <w:tcW w:w="1994"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66,7</w:t>
            </w:r>
          </w:p>
        </w:tc>
        <w:tc>
          <w:tcPr>
            <w:tcW w:w="1080"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67,5</w:t>
            </w:r>
          </w:p>
        </w:tc>
        <w:tc>
          <w:tcPr>
            <w:tcW w:w="1994" w:type="dxa"/>
            <w:tcBorders>
              <w:left w:val="single" w:sz="4" w:space="0" w:color="auto"/>
              <w:bottom w:val="single" w:sz="4" w:space="0" w:color="auto"/>
              <w:right w:val="single" w:sz="4" w:space="0" w:color="auto"/>
            </w:tcBorders>
          </w:tcPr>
          <w:p w:rsidR="009258AD" w:rsidRPr="009835F9"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402</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407</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407</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95</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95</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96</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27022">
        <w:rPr>
          <w:rFonts w:ascii="Times New Roman" w:hAnsi="Times New Roman"/>
          <w:sz w:val="28"/>
          <w:szCs w:val="28"/>
        </w:rPr>
        <w:t>за  2014</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297,0</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287,1</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297,0</w:t>
            </w:r>
          </w:p>
        </w:tc>
        <w:tc>
          <w:tcPr>
            <w:tcW w:w="1559"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D42796" w:rsidRPr="00D42796" w:rsidTr="001C51B8">
        <w:trPr>
          <w:trHeight w:val="1979"/>
        </w:trPr>
        <w:tc>
          <w:tcPr>
            <w:tcW w:w="14900" w:type="dxa"/>
            <w:gridSpan w:val="5"/>
            <w:tcBorders>
              <w:top w:val="nil"/>
              <w:left w:val="nil"/>
              <w:bottom w:val="nil"/>
              <w:right w:val="nil"/>
            </w:tcBorders>
            <w:shd w:val="clear" w:color="auto" w:fill="auto"/>
          </w:tcPr>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r w:rsidRPr="00D42796">
              <w:rPr>
                <w:rFonts w:ascii="Times New Roman" w:hAnsi="Times New Roman"/>
                <w:bCs/>
                <w:sz w:val="28"/>
                <w:szCs w:val="28"/>
              </w:rPr>
              <w:t xml:space="preserve">4. Информация о возникновении экономии бюджетных ассигнований на реализацию основного мероприятия </w:t>
            </w:r>
            <w:r w:rsidRPr="00D42796">
              <w:rPr>
                <w:rFonts w:ascii="Times New Roman" w:hAnsi="Times New Roman"/>
                <w:bCs/>
                <w:sz w:val="28"/>
                <w:szCs w:val="28"/>
              </w:rPr>
              <w:br/>
              <w:t xml:space="preserve">муниципальной программы </w:t>
            </w:r>
            <w:r w:rsidRPr="00D42796">
              <w:rPr>
                <w:rFonts w:ascii="Times New Roman" w:hAnsi="Times New Roman"/>
                <w:sz w:val="28"/>
                <w:szCs w:val="28"/>
              </w:rPr>
              <w:t>Красновского сельского поселения</w:t>
            </w:r>
          </w:p>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r w:rsidRPr="00D42796">
              <w:rPr>
                <w:rFonts w:ascii="Times New Roman" w:hAnsi="Times New Roman"/>
                <w:sz w:val="28"/>
                <w:szCs w:val="28"/>
              </w:rPr>
              <w:t>«</w:t>
            </w:r>
            <w:r w:rsidR="00B62384">
              <w:rPr>
                <w:rFonts w:ascii="Times New Roman" w:hAnsi="Times New Roman"/>
                <w:sz w:val="28"/>
                <w:szCs w:val="28"/>
              </w:rPr>
              <w:t>Развитие физической культуры и спорта</w:t>
            </w:r>
            <w:r w:rsidRPr="00D42796">
              <w:rPr>
                <w:rFonts w:ascii="Times New Roman" w:hAnsi="Times New Roman"/>
                <w:sz w:val="28"/>
                <w:szCs w:val="28"/>
              </w:rPr>
              <w:t>»,</w:t>
            </w:r>
          </w:p>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r w:rsidRPr="00D42796">
              <w:rPr>
                <w:rFonts w:ascii="Times New Roman" w:hAnsi="Times New Roman"/>
                <w:sz w:val="28"/>
                <w:szCs w:val="28"/>
              </w:rPr>
              <w:t xml:space="preserve"> </w:t>
            </w:r>
            <w:r w:rsidRPr="00D42796">
              <w:rPr>
                <w:rFonts w:ascii="Times New Roman" w:hAnsi="Times New Roman"/>
                <w:bCs/>
                <w:sz w:val="28"/>
                <w:szCs w:val="28"/>
              </w:rPr>
              <w:t xml:space="preserve">в том числе и в результате проведенных </w:t>
            </w:r>
            <w:r w:rsidRPr="00D42796">
              <w:rPr>
                <w:rFonts w:ascii="Times New Roman" w:hAnsi="Times New Roman"/>
                <w:bCs/>
                <w:sz w:val="28"/>
                <w:szCs w:val="28"/>
              </w:rPr>
              <w:br/>
              <w:t xml:space="preserve">конкурсных процедур, при условии его исполнения в полном объеме </w:t>
            </w:r>
            <w:r w:rsidRPr="00D42796">
              <w:rPr>
                <w:rFonts w:ascii="Times New Roman" w:hAnsi="Times New Roman"/>
                <w:bCs/>
                <w:sz w:val="28"/>
                <w:szCs w:val="28"/>
              </w:rPr>
              <w:br/>
              <w:t xml:space="preserve">в </w:t>
            </w:r>
            <w:r w:rsidRPr="00D42796">
              <w:rPr>
                <w:rFonts w:ascii="Times New Roman" w:hAnsi="Times New Roman"/>
                <w:bCs/>
                <w:iCs/>
                <w:sz w:val="28"/>
                <w:szCs w:val="28"/>
              </w:rPr>
              <w:t xml:space="preserve">2014 </w:t>
            </w:r>
            <w:r w:rsidRPr="00D42796">
              <w:rPr>
                <w:rFonts w:ascii="Times New Roman" w:hAnsi="Times New Roman"/>
                <w:bCs/>
                <w:sz w:val="28"/>
                <w:szCs w:val="28"/>
              </w:rPr>
              <w:t>году</w:t>
            </w:r>
          </w:p>
        </w:tc>
      </w:tr>
      <w:tr w:rsidR="00D42796" w:rsidRPr="00D42796" w:rsidTr="001C51B8">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Сумма экономии</w:t>
            </w:r>
            <w:r w:rsidRPr="00D42796">
              <w:rPr>
                <w:rFonts w:ascii="Times New Roman" w:hAnsi="Times New Roman"/>
                <w:bCs/>
                <w:sz w:val="24"/>
                <w:szCs w:val="24"/>
              </w:rPr>
              <w:br/>
              <w:t>(тыс. рублей)</w:t>
            </w:r>
          </w:p>
        </w:tc>
      </w:tr>
      <w:tr w:rsidR="00D42796" w:rsidRPr="00D42796" w:rsidTr="001C51B8">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D42796" w:rsidRPr="00D42796" w:rsidRDefault="00D42796" w:rsidP="00D42796">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D42796" w:rsidRPr="00D42796" w:rsidRDefault="00D42796" w:rsidP="00D42796">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D42796" w:rsidRPr="00D42796" w:rsidRDefault="00D42796" w:rsidP="00D42796">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D42796" w:rsidRPr="00D42796" w:rsidRDefault="00D42796" w:rsidP="00D42796">
            <w:pPr>
              <w:spacing w:after="0" w:line="240" w:lineRule="auto"/>
              <w:jc w:val="center"/>
              <w:rPr>
                <w:rFonts w:ascii="Times New Roman" w:hAnsi="Times New Roman"/>
                <w:bCs/>
                <w:sz w:val="24"/>
                <w:szCs w:val="24"/>
              </w:rPr>
            </w:pPr>
            <w:r w:rsidRPr="00D42796">
              <w:rPr>
                <w:rFonts w:ascii="Times New Roman" w:hAnsi="Times New Roman"/>
                <w:bCs/>
                <w:sz w:val="24"/>
                <w:szCs w:val="24"/>
              </w:rPr>
              <w:t>в том числе в результате проведенных конкурсных процедур</w:t>
            </w:r>
          </w:p>
        </w:tc>
      </w:tr>
      <w:tr w:rsidR="00D42796" w:rsidRPr="00D42796" w:rsidTr="00B62384">
        <w:trPr>
          <w:trHeight w:val="315"/>
        </w:trPr>
        <w:tc>
          <w:tcPr>
            <w:tcW w:w="4160" w:type="dxa"/>
            <w:tcBorders>
              <w:top w:val="nil"/>
              <w:left w:val="single" w:sz="4" w:space="0" w:color="auto"/>
              <w:bottom w:val="single" w:sz="4" w:space="0" w:color="auto"/>
              <w:right w:val="single" w:sz="4" w:space="0" w:color="auto"/>
            </w:tcBorders>
            <w:shd w:val="clear" w:color="auto" w:fill="auto"/>
          </w:tcPr>
          <w:p w:rsidR="00D42796" w:rsidRPr="00D42796" w:rsidRDefault="00D42796" w:rsidP="00D42796">
            <w:pPr>
              <w:spacing w:after="0" w:line="240" w:lineRule="auto"/>
              <w:rPr>
                <w:rFonts w:ascii="Times New Roman" w:hAnsi="Times New Roman"/>
                <w:sz w:val="24"/>
                <w:szCs w:val="24"/>
              </w:rPr>
            </w:pPr>
            <w:r w:rsidRPr="00D42796">
              <w:rPr>
                <w:rFonts w:ascii="Times New Roman" w:hAnsi="Times New Roman"/>
                <w:sz w:val="24"/>
                <w:szCs w:val="24"/>
              </w:rPr>
              <w:t xml:space="preserve">1. </w:t>
            </w:r>
            <w:r w:rsidR="00B62384" w:rsidRPr="00B62384">
              <w:rPr>
                <w:rFonts w:ascii="Times New Roman" w:hAnsi="Times New Roman"/>
                <w:sz w:val="24"/>
                <w:szCs w:val="24"/>
              </w:rPr>
              <w:t>Проведение спортивных мероприятий</w:t>
            </w:r>
          </w:p>
        </w:tc>
        <w:tc>
          <w:tcPr>
            <w:tcW w:w="3100" w:type="dxa"/>
            <w:tcBorders>
              <w:top w:val="nil"/>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повышение мотивации жителей поселения к регулярным занятиям физической культурой и спортом и ведению здорового образа жизни;</w:t>
            </w:r>
          </w:p>
          <w:p w:rsidR="00D42796" w:rsidRPr="00D42796"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обеспечение успешного выступления спортсменов  поселения на спортивных соревнованиях районного и межрайонного уровня</w:t>
            </w:r>
            <w:r w:rsidR="00D42796" w:rsidRPr="00D42796">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повышение мотивации жителей поселения к регулярным занятиям физической культурой и спортом и ведению здорового образа жизни;</w:t>
            </w:r>
          </w:p>
          <w:p w:rsidR="00D42796" w:rsidRPr="00D42796"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обеспечение успешного выступления спортсменов  поселения на спортивных соревнованиях районного и межрайонного уровня</w:t>
            </w:r>
          </w:p>
        </w:tc>
        <w:tc>
          <w:tcPr>
            <w:tcW w:w="2200" w:type="dxa"/>
            <w:tcBorders>
              <w:top w:val="nil"/>
              <w:left w:val="nil"/>
              <w:bottom w:val="single" w:sz="4" w:space="0" w:color="auto"/>
              <w:right w:val="single" w:sz="4" w:space="0" w:color="auto"/>
            </w:tcBorders>
            <w:shd w:val="clear" w:color="auto" w:fill="auto"/>
          </w:tcPr>
          <w:p w:rsidR="00D42796" w:rsidRPr="00D42796"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5,1</w:t>
            </w:r>
          </w:p>
        </w:tc>
        <w:tc>
          <w:tcPr>
            <w:tcW w:w="2820" w:type="dxa"/>
            <w:tcBorders>
              <w:top w:val="nil"/>
              <w:left w:val="nil"/>
              <w:bottom w:val="single" w:sz="4" w:space="0" w:color="auto"/>
              <w:right w:val="single" w:sz="4" w:space="0" w:color="auto"/>
            </w:tcBorders>
            <w:shd w:val="clear" w:color="auto" w:fill="auto"/>
          </w:tcPr>
          <w:p w:rsidR="00D42796" w:rsidRPr="00D42796"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w:t>
            </w:r>
          </w:p>
        </w:tc>
      </w:tr>
      <w:tr w:rsidR="00B62384" w:rsidRPr="00D42796" w:rsidTr="00B62384">
        <w:trPr>
          <w:trHeight w:val="31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B62384" w:rsidRPr="00D42796" w:rsidRDefault="00B62384" w:rsidP="00D42796">
            <w:pPr>
              <w:spacing w:after="0" w:line="240" w:lineRule="auto"/>
              <w:rPr>
                <w:rFonts w:ascii="Times New Roman" w:hAnsi="Times New Roman"/>
                <w:sz w:val="24"/>
                <w:szCs w:val="24"/>
              </w:rPr>
            </w:pPr>
            <w:r>
              <w:rPr>
                <w:rFonts w:ascii="Times New Roman" w:hAnsi="Times New Roman"/>
                <w:sz w:val="24"/>
                <w:szCs w:val="24"/>
              </w:rPr>
              <w:t xml:space="preserve">2. </w:t>
            </w:r>
            <w:r w:rsidRPr="00B62384">
              <w:rPr>
                <w:rFonts w:ascii="Times New Roman" w:hAnsi="Times New Roman"/>
                <w:sz w:val="24"/>
                <w:szCs w:val="24"/>
              </w:rPr>
              <w:t>Приобретения спортивного оборудования и инвентаря</w:t>
            </w:r>
          </w:p>
        </w:tc>
        <w:tc>
          <w:tcPr>
            <w:tcW w:w="310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развитие инфраструктуры физической культуры и спорта  поселения;</w:t>
            </w:r>
          </w:p>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262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развитие инфраструктуры физической культуры и спорта  поселения;</w:t>
            </w:r>
          </w:p>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2200" w:type="dxa"/>
            <w:tcBorders>
              <w:top w:val="single" w:sz="4" w:space="0" w:color="auto"/>
              <w:left w:val="nil"/>
              <w:bottom w:val="single" w:sz="4" w:space="0" w:color="auto"/>
              <w:right w:val="single" w:sz="4" w:space="0" w:color="auto"/>
            </w:tcBorders>
            <w:shd w:val="clear" w:color="auto" w:fill="auto"/>
          </w:tcPr>
          <w:p w:rsidR="00B62384"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4,5</w:t>
            </w:r>
          </w:p>
        </w:tc>
        <w:tc>
          <w:tcPr>
            <w:tcW w:w="2820" w:type="dxa"/>
            <w:tcBorders>
              <w:top w:val="single" w:sz="4" w:space="0" w:color="auto"/>
              <w:left w:val="nil"/>
              <w:bottom w:val="single" w:sz="4" w:space="0" w:color="auto"/>
              <w:right w:val="single" w:sz="4" w:space="0" w:color="auto"/>
            </w:tcBorders>
            <w:shd w:val="clear" w:color="auto" w:fill="auto"/>
          </w:tcPr>
          <w:p w:rsidR="00B62384" w:rsidRPr="00D42796"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w:t>
            </w:r>
          </w:p>
        </w:tc>
      </w:tr>
      <w:tr w:rsidR="00B62384" w:rsidRPr="00D42796" w:rsidTr="00B62384">
        <w:trPr>
          <w:trHeight w:val="315"/>
        </w:trPr>
        <w:tc>
          <w:tcPr>
            <w:tcW w:w="4160" w:type="dxa"/>
            <w:tcBorders>
              <w:top w:val="single" w:sz="4" w:space="0" w:color="auto"/>
              <w:left w:val="single" w:sz="4" w:space="0" w:color="auto"/>
              <w:bottom w:val="single" w:sz="4" w:space="0" w:color="auto"/>
              <w:right w:val="single" w:sz="4" w:space="0" w:color="auto"/>
            </w:tcBorders>
            <w:shd w:val="clear" w:color="auto" w:fill="auto"/>
          </w:tcPr>
          <w:p w:rsidR="00B62384" w:rsidRDefault="00B62384" w:rsidP="00D42796">
            <w:pPr>
              <w:spacing w:after="0" w:line="240" w:lineRule="auto"/>
              <w:rPr>
                <w:rFonts w:ascii="Times New Roman" w:hAnsi="Times New Roman"/>
                <w:sz w:val="24"/>
                <w:szCs w:val="24"/>
              </w:rPr>
            </w:pPr>
            <w:r>
              <w:rPr>
                <w:rFonts w:ascii="Times New Roman" w:hAnsi="Times New Roman"/>
                <w:sz w:val="24"/>
                <w:szCs w:val="24"/>
              </w:rPr>
              <w:t xml:space="preserve">3. </w:t>
            </w:r>
            <w:r w:rsidRPr="00B62384">
              <w:rPr>
                <w:rFonts w:ascii="Times New Roman" w:hAnsi="Times New Roman"/>
                <w:sz w:val="24"/>
                <w:szCs w:val="24"/>
              </w:rPr>
              <w:t>Содержание спортивных объектов сельского поселения</w:t>
            </w:r>
          </w:p>
        </w:tc>
        <w:tc>
          <w:tcPr>
            <w:tcW w:w="310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2620" w:type="dxa"/>
            <w:tcBorders>
              <w:top w:val="single" w:sz="4" w:space="0" w:color="auto"/>
              <w:left w:val="nil"/>
              <w:bottom w:val="single" w:sz="4" w:space="0" w:color="auto"/>
              <w:right w:val="single" w:sz="4" w:space="0" w:color="auto"/>
            </w:tcBorders>
            <w:shd w:val="clear" w:color="auto" w:fill="auto"/>
          </w:tcPr>
          <w:p w:rsidR="00B62384" w:rsidRPr="00B62384" w:rsidRDefault="00B62384" w:rsidP="00B62384">
            <w:pPr>
              <w:spacing w:after="0" w:line="240" w:lineRule="auto"/>
              <w:jc w:val="center"/>
              <w:rPr>
                <w:rFonts w:ascii="Times New Roman" w:hAnsi="Times New Roman"/>
                <w:sz w:val="24"/>
                <w:szCs w:val="24"/>
              </w:rPr>
            </w:pPr>
            <w:r w:rsidRPr="00B62384">
              <w:rPr>
                <w:rFonts w:ascii="Times New Roman" w:hAnsi="Times New Roman"/>
                <w:sz w:val="24"/>
                <w:szCs w:val="24"/>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2200" w:type="dxa"/>
            <w:tcBorders>
              <w:top w:val="single" w:sz="4" w:space="0" w:color="auto"/>
              <w:left w:val="nil"/>
              <w:bottom w:val="single" w:sz="4" w:space="0" w:color="auto"/>
              <w:right w:val="single" w:sz="4" w:space="0" w:color="auto"/>
            </w:tcBorders>
            <w:shd w:val="clear" w:color="auto" w:fill="auto"/>
          </w:tcPr>
          <w:p w:rsidR="00B62384"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0,3</w:t>
            </w:r>
          </w:p>
        </w:tc>
        <w:tc>
          <w:tcPr>
            <w:tcW w:w="2820" w:type="dxa"/>
            <w:tcBorders>
              <w:top w:val="single" w:sz="4" w:space="0" w:color="auto"/>
              <w:left w:val="nil"/>
              <w:bottom w:val="single" w:sz="4" w:space="0" w:color="auto"/>
              <w:right w:val="single" w:sz="4" w:space="0" w:color="auto"/>
            </w:tcBorders>
            <w:shd w:val="clear" w:color="auto" w:fill="auto"/>
          </w:tcPr>
          <w:p w:rsidR="00B62384" w:rsidRDefault="00B62384" w:rsidP="00D42796">
            <w:pPr>
              <w:spacing w:after="0" w:line="240" w:lineRule="auto"/>
              <w:jc w:val="center"/>
              <w:rPr>
                <w:rFonts w:ascii="Times New Roman" w:hAnsi="Times New Roman"/>
                <w:sz w:val="24"/>
                <w:szCs w:val="24"/>
              </w:rPr>
            </w:pPr>
            <w:r>
              <w:rPr>
                <w:rFonts w:ascii="Times New Roman" w:hAnsi="Times New Roman"/>
                <w:sz w:val="24"/>
                <w:szCs w:val="24"/>
              </w:rPr>
              <w:t>-</w:t>
            </w: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E0790F" w:rsidP="007E5D83">
      <w:pPr>
        <w:pStyle w:val="af1"/>
        <w:suppressAutoHyphens/>
        <w:jc w:val="center"/>
        <w:rPr>
          <w:sz w:val="28"/>
          <w:szCs w:val="28"/>
        </w:rPr>
      </w:pPr>
      <w:r>
        <w:rPr>
          <w:sz w:val="28"/>
          <w:szCs w:val="28"/>
        </w:rPr>
        <w:t>5</w:t>
      </w:r>
      <w:r w:rsidR="000B5F58">
        <w:rPr>
          <w:sz w:val="28"/>
          <w:szCs w:val="28"/>
        </w:rPr>
        <w:t>. Оценка эффективности реализации</w:t>
      </w:r>
      <w:r w:rsidR="000B5F58" w:rsidRPr="00535C49">
        <w:rPr>
          <w:sz w:val="28"/>
          <w:szCs w:val="28"/>
        </w:rPr>
        <w:t xml:space="preserve"> Программы</w:t>
      </w:r>
      <w:r w:rsidR="000B5F58">
        <w:rPr>
          <w:sz w:val="28"/>
          <w:szCs w:val="28"/>
        </w:rPr>
        <w:t xml:space="preserve"> за 2014</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9.35pt" o:ole="">
            <v:imagedata r:id="rId10" o:title=""/>
          </v:shape>
          <o:OLEObject Type="Embed" ProgID="Equation.3" ShapeID="_x0000_i1025" DrawAspect="Content" ObjectID="_1814031521"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2pt;height:18.4pt" o:ole="">
            <v:imagedata r:id="rId12" o:title=""/>
          </v:shape>
          <o:OLEObject Type="Embed" ProgID="Equation.3" ShapeID="_x0000_i1026" DrawAspect="Content" ObjectID="_1814031522"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7D34F8">
        <w:rPr>
          <w:rFonts w:ascii="Times New Roman" w:hAnsi="Times New Roman"/>
          <w:sz w:val="28"/>
          <w:szCs w:val="28"/>
        </w:rPr>
        <w:t>=29,1/29,1*100%=100%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Pr>
          <w:rFonts w:ascii="Times New Roman" w:hAnsi="Times New Roman"/>
          <w:sz w:val="28"/>
          <w:szCs w:val="28"/>
        </w:rPr>
        <w:t>=67,5/67,5*100%=100%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Pr>
          <w:rFonts w:ascii="Times New Roman" w:hAnsi="Times New Roman"/>
          <w:sz w:val="28"/>
          <w:szCs w:val="28"/>
        </w:rPr>
        <w:t>=407/407*100%=100%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Pr>
          <w:rFonts w:ascii="Times New Roman" w:hAnsi="Times New Roman"/>
          <w:sz w:val="28"/>
          <w:szCs w:val="28"/>
        </w:rPr>
        <w:t>=96/95*100%=101%</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Pr>
          <w:rFonts w:ascii="Times New Roman" w:hAnsi="Times New Roman"/>
          <w:kern w:val="2"/>
          <w:sz w:val="28"/>
          <w:szCs w:val="28"/>
        </w:rPr>
        <w:t xml:space="preserve"> по результатам 2014 года достигла 100 % (С=501/5=100%).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85pt;height:18.4pt" o:ole="">
            <v:imagedata r:id="rId14" o:title=""/>
          </v:shape>
          <o:OLEObject Type="Embed" ProgID="Equation.3" ShapeID="_x0000_i1027" DrawAspect="Content" ObjectID="_1814031523"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7E5D83">
        <w:rPr>
          <w:rFonts w:ascii="Times New Roman" w:hAnsi="Times New Roman"/>
          <w:kern w:val="2"/>
          <w:position w:val="6"/>
          <w:sz w:val="28"/>
          <w:szCs w:val="28"/>
        </w:rPr>
        <w:t>287,1/297,0*100%=96%</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4031524" r:id="rId17"/>
        </w:object>
      </w:r>
    </w:p>
    <w:p w:rsidR="007E5D83" w:rsidRDefault="007E5D83"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Э=100/96*100%=104%</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8.15pt;height:34.35pt" o:ole="">
            <v:imagedata r:id="rId18" o:title=""/>
          </v:shape>
          <o:OLEObject Type="Embed" ProgID="Equation.3" ShapeID="_x0000_i1029" DrawAspect="Content" ObjectID="_1814031525"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sidR="00BC4BEF">
        <w:rPr>
          <w:rFonts w:ascii="Times New Roman" w:hAnsi="Times New Roman"/>
          <w:sz w:val="28"/>
          <w:szCs w:val="28"/>
        </w:rPr>
        <w:t xml:space="preserve">                    Г.В. Бадаев</w:t>
      </w:r>
    </w:p>
    <w:p w:rsidR="000B5F58" w:rsidRDefault="000B5F58" w:rsidP="000B5F58">
      <w:pPr>
        <w:tabs>
          <w:tab w:val="left" w:pos="10140"/>
        </w:tabs>
        <w:sectPr w:rsidR="000B5F58" w:rsidSect="00D42796">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346C" w:rsidRDefault="0069346C" w:rsidP="009258AD">
      <w:pPr>
        <w:spacing w:after="0" w:line="240" w:lineRule="auto"/>
      </w:pPr>
      <w:r>
        <w:separator/>
      </w:r>
    </w:p>
  </w:endnote>
  <w:endnote w:type="continuationSeparator" w:id="0">
    <w:p w:rsidR="0069346C" w:rsidRDefault="0069346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346C" w:rsidRDefault="0069346C" w:rsidP="009258AD">
      <w:pPr>
        <w:spacing w:after="0" w:line="240" w:lineRule="auto"/>
      </w:pPr>
      <w:r>
        <w:separator/>
      </w:r>
    </w:p>
  </w:footnote>
  <w:footnote w:type="continuationSeparator" w:id="0">
    <w:p w:rsidR="0069346C" w:rsidRDefault="0069346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730FE"/>
    <w:rsid w:val="002779EC"/>
    <w:rsid w:val="00320D4F"/>
    <w:rsid w:val="003568E0"/>
    <w:rsid w:val="00374747"/>
    <w:rsid w:val="003A4CF6"/>
    <w:rsid w:val="004323FA"/>
    <w:rsid w:val="00441462"/>
    <w:rsid w:val="00446DB9"/>
    <w:rsid w:val="0045522D"/>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F2CCD"/>
    <w:rsid w:val="00727022"/>
    <w:rsid w:val="00776FA1"/>
    <w:rsid w:val="007812D9"/>
    <w:rsid w:val="007A2C7B"/>
    <w:rsid w:val="007A35CF"/>
    <w:rsid w:val="007C6B37"/>
    <w:rsid w:val="007D3228"/>
    <w:rsid w:val="007D34F8"/>
    <w:rsid w:val="007E5D83"/>
    <w:rsid w:val="00807315"/>
    <w:rsid w:val="008150C1"/>
    <w:rsid w:val="008455A5"/>
    <w:rsid w:val="00871E85"/>
    <w:rsid w:val="00896D32"/>
    <w:rsid w:val="00896F71"/>
    <w:rsid w:val="008E35D6"/>
    <w:rsid w:val="0091012E"/>
    <w:rsid w:val="009258AD"/>
    <w:rsid w:val="009459D3"/>
    <w:rsid w:val="0095692B"/>
    <w:rsid w:val="009835F9"/>
    <w:rsid w:val="009F44F1"/>
    <w:rsid w:val="009F4B33"/>
    <w:rsid w:val="00A334F6"/>
    <w:rsid w:val="00AB3A99"/>
    <w:rsid w:val="00AF66D1"/>
    <w:rsid w:val="00AF6F39"/>
    <w:rsid w:val="00B2697E"/>
    <w:rsid w:val="00B27AD2"/>
    <w:rsid w:val="00B62384"/>
    <w:rsid w:val="00B71B6F"/>
    <w:rsid w:val="00BB3A23"/>
    <w:rsid w:val="00BC4BEF"/>
    <w:rsid w:val="00C10753"/>
    <w:rsid w:val="00C52968"/>
    <w:rsid w:val="00C64DB1"/>
    <w:rsid w:val="00C7136A"/>
    <w:rsid w:val="00C72105"/>
    <w:rsid w:val="00C76264"/>
    <w:rsid w:val="00C9678D"/>
    <w:rsid w:val="00CD7316"/>
    <w:rsid w:val="00D20B8E"/>
    <w:rsid w:val="00D34DFA"/>
    <w:rsid w:val="00D42796"/>
    <w:rsid w:val="00D63F11"/>
    <w:rsid w:val="00DC097B"/>
    <w:rsid w:val="00DC4447"/>
    <w:rsid w:val="00DC7431"/>
    <w:rsid w:val="00DF11BE"/>
    <w:rsid w:val="00E007BD"/>
    <w:rsid w:val="00E0790F"/>
    <w:rsid w:val="00E25D60"/>
    <w:rsid w:val="00E90D5D"/>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3248B34-1342-4E15-B965-9EAE7A19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A7D9D-A462-440E-853A-3E73B275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8997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2025-07-14T17:47:00Z</dcterms:created>
  <dcterms:modified xsi:type="dcterms:W3CDTF">2025-07-14T17:47:00Z</dcterms:modified>
</cp:coreProperties>
</file>